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CF7AF">
      <w:pPr>
        <w:pStyle w:val="90"/>
        <w:tabs>
          <w:tab w:val="right" w:pos="9638"/>
        </w:tabs>
        <w:spacing w:after="0"/>
        <w:rPr>
          <w:rFonts w:hint="default" w:eastAsia="等线" w:cs="Arial"/>
          <w:b/>
          <w:sz w:val="24"/>
          <w:highlight w:val="none"/>
          <w:lang w:val="en-US" w:eastAsia="zh-CN"/>
        </w:rPr>
      </w:pPr>
      <w:r>
        <w:rPr>
          <w:rFonts w:cs="Arial"/>
          <w:b/>
          <w:sz w:val="24"/>
          <w:highlight w:val="none"/>
        </w:rPr>
        <w:t>SA WG2 Meeting #16</w:t>
      </w:r>
      <w:r>
        <w:rPr>
          <w:rFonts w:hint="eastAsia" w:cs="Arial"/>
          <w:b/>
          <w:sz w:val="24"/>
          <w:highlight w:val="none"/>
          <w:lang w:val="en-US" w:eastAsia="zh-CN"/>
        </w:rPr>
        <w:t>6</w:t>
      </w:r>
      <w:bookmarkStart w:id="7" w:name="_GoBack"/>
      <w:bookmarkEnd w:id="7"/>
      <w:r>
        <w:rPr>
          <w:rFonts w:cs="Arial"/>
          <w:b/>
          <w:sz w:val="24"/>
          <w:highlight w:val="none"/>
        </w:rPr>
        <w:tab/>
      </w:r>
      <w:r>
        <w:rPr>
          <w:rFonts w:hint="eastAsia"/>
          <w:b/>
          <w:sz w:val="24"/>
          <w:highlight w:val="none"/>
        </w:rPr>
        <w:t>S2-2411611</w:t>
      </w:r>
    </w:p>
    <w:p w14:paraId="1CC2D151">
      <w:pPr>
        <w:pStyle w:val="90"/>
        <w:pBdr>
          <w:bottom w:val="single" w:color="auto" w:sz="6" w:space="0"/>
        </w:pBdr>
        <w:tabs>
          <w:tab w:val="right" w:pos="9638"/>
        </w:tabs>
        <w:spacing w:after="0"/>
        <w:rPr>
          <w:rFonts w:hint="eastAsia" w:eastAsia="等线" w:cs="Arial"/>
          <w:b/>
          <w:sz w:val="24"/>
          <w:highlight w:val="none"/>
          <w:lang w:val="en-US" w:eastAsia="zh-CN"/>
        </w:rPr>
      </w:pPr>
      <w:r>
        <w:rPr>
          <w:rFonts w:hint="eastAsia"/>
          <w:b/>
          <w:sz w:val="24"/>
          <w:lang w:val="en-US" w:eastAsia="zh-CN"/>
        </w:rPr>
        <w:t>18 - 22 November, 2024, Orlando , US</w:t>
      </w:r>
      <w:r>
        <w:rPr>
          <w:rFonts w:hint="eastAsia" w:cs="Arial"/>
          <w:b/>
          <w:sz w:val="24"/>
          <w:highlight w:val="none"/>
          <w:lang w:val="en-US" w:eastAsia="zh-CN"/>
        </w:rPr>
        <w:tab/>
      </w:r>
      <w:r>
        <w:rPr>
          <w:rFonts w:hint="eastAsia" w:cs="Arial"/>
          <w:b/>
          <w:sz w:val="24"/>
          <w:highlight w:val="none"/>
          <w:lang w:val="en-US" w:eastAsia="zh-CN"/>
        </w:rPr>
        <w:t xml:space="preserve">   </w:t>
      </w:r>
    </w:p>
    <w:p w14:paraId="16936DEE">
      <w:pPr>
        <w:pStyle w:val="90"/>
        <w:tabs>
          <w:tab w:val="right" w:pos="9638"/>
        </w:tabs>
        <w:spacing w:after="0"/>
        <w:rPr>
          <w:rFonts w:cs="Arial"/>
          <w:b/>
          <w:sz w:val="24"/>
          <w:highlight w:val="none"/>
        </w:rPr>
      </w:pPr>
    </w:p>
    <w:p w14:paraId="4ECF24AD">
      <w:pPr>
        <w:spacing w:after="60"/>
        <w:ind w:left="1985" w:hanging="1985"/>
        <w:rPr>
          <w:rFonts w:ascii="Arial" w:hAnsi="Arial" w:cs="Arial"/>
          <w:b/>
          <w:sz w:val="22"/>
          <w:szCs w:val="22"/>
          <w:highlight w:val="none"/>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cs="Arial"/>
          <w:b/>
          <w:sz w:val="22"/>
          <w:szCs w:val="22"/>
          <w:highlight w:val="none"/>
          <w:lang w:val="en-US" w:eastAsia="zh-CN"/>
        </w:rPr>
        <w:t xml:space="preserve">[draft] </w:t>
      </w:r>
      <w:r>
        <w:rPr>
          <w:rFonts w:hint="eastAsia" w:ascii="Arial" w:hAnsi="Arial" w:eastAsia="宋体" w:cs="Arial"/>
          <w:b/>
          <w:sz w:val="22"/>
          <w:szCs w:val="22"/>
          <w:highlight w:val="none"/>
          <w:lang w:val="en-US" w:eastAsia="zh-CN"/>
        </w:rPr>
        <w:t>Reply LS on request for IMS Data Channel related clarifications</w:t>
      </w:r>
    </w:p>
    <w:p w14:paraId="65D92C74">
      <w:pPr>
        <w:spacing w:after="60"/>
        <w:ind w:left="1985" w:hanging="1985"/>
        <w:rPr>
          <w:rFonts w:hint="eastAsia" w:ascii="Arial" w:hAnsi="Arial" w:eastAsia="宋体" w:cs="Arial"/>
          <w:b/>
          <w:bCs/>
          <w:sz w:val="22"/>
          <w:szCs w:val="22"/>
          <w:highlight w:val="none"/>
          <w:lang w:val="en-US" w:eastAsia="zh-CN"/>
        </w:rPr>
      </w:pPr>
      <w:bookmarkStart w:id="0" w:name="OLE_LINK58"/>
      <w:bookmarkStart w:id="1" w:name="OLE_LINK57"/>
      <w:r>
        <w:rPr>
          <w:rFonts w:ascii="Arial" w:hAnsi="Arial" w:cs="Arial"/>
          <w:b/>
          <w:sz w:val="22"/>
          <w:szCs w:val="22"/>
          <w:highlight w:val="none"/>
        </w:rPr>
        <w:t>Response to:</w:t>
      </w:r>
      <w:r>
        <w:rPr>
          <w:rFonts w:ascii="Arial" w:hAnsi="Arial" w:cs="Arial"/>
          <w:b/>
          <w:bCs/>
          <w:sz w:val="22"/>
          <w:szCs w:val="22"/>
          <w:highlight w:val="none"/>
        </w:rPr>
        <w:tab/>
      </w:r>
      <w:r>
        <w:rPr>
          <w:rFonts w:hint="eastAsia" w:ascii="Arial" w:hAnsi="Arial" w:eastAsia="宋体" w:cs="Arial"/>
          <w:b/>
          <w:sz w:val="22"/>
          <w:szCs w:val="22"/>
          <w:highlight w:val="none"/>
          <w:lang w:val="en-US" w:eastAsia="zh-CN"/>
        </w:rPr>
        <w:t xml:space="preserve">LS on request for IMS Data Channel related clarifications </w:t>
      </w:r>
      <w:r>
        <w:rPr>
          <w:rFonts w:ascii="Arial" w:hAnsi="Arial" w:cs="Arial"/>
          <w:b/>
          <w:bCs/>
          <w:sz w:val="22"/>
          <w:szCs w:val="22"/>
          <w:highlight w:val="none"/>
        </w:rPr>
        <w:t>(S</w:t>
      </w:r>
      <w:r>
        <w:rPr>
          <w:rFonts w:hint="eastAsia" w:ascii="Arial" w:hAnsi="Arial" w:cs="Arial"/>
          <w:b/>
          <w:bCs/>
          <w:sz w:val="22"/>
          <w:szCs w:val="22"/>
          <w:highlight w:val="none"/>
          <w:lang w:eastAsia="ja-JP"/>
        </w:rPr>
        <w:t>2-24</w:t>
      </w:r>
      <w:r>
        <w:rPr>
          <w:rFonts w:hint="eastAsia" w:ascii="Arial" w:hAnsi="Arial" w:eastAsia="宋体" w:cs="Arial"/>
          <w:b/>
          <w:bCs/>
          <w:sz w:val="22"/>
          <w:szCs w:val="22"/>
          <w:highlight w:val="none"/>
          <w:lang w:val="en-US" w:eastAsia="zh-CN"/>
        </w:rPr>
        <w:t>11347</w:t>
      </w:r>
      <w:r>
        <w:rPr>
          <w:rFonts w:hint="eastAsia" w:ascii="Arial" w:hAnsi="Arial" w:cs="Arial"/>
          <w:b/>
          <w:bCs/>
          <w:sz w:val="22"/>
          <w:szCs w:val="22"/>
          <w:highlight w:val="none"/>
          <w:lang w:eastAsia="ja-JP"/>
        </w:rPr>
        <w:t>/S</w:t>
      </w:r>
      <w:r>
        <w:rPr>
          <w:rFonts w:hint="eastAsia" w:ascii="Arial" w:hAnsi="Arial" w:eastAsia="宋体" w:cs="Arial"/>
          <w:b/>
          <w:bCs/>
          <w:sz w:val="22"/>
          <w:szCs w:val="22"/>
          <w:highlight w:val="none"/>
          <w:lang w:val="en-US" w:eastAsia="zh-CN"/>
        </w:rPr>
        <w:t>3i</w:t>
      </w:r>
      <w:r>
        <w:rPr>
          <w:rFonts w:hint="eastAsia" w:ascii="Arial" w:hAnsi="Arial" w:cs="Arial"/>
          <w:b/>
          <w:bCs/>
          <w:sz w:val="22"/>
          <w:szCs w:val="22"/>
          <w:highlight w:val="none"/>
          <w:lang w:eastAsia="ja-JP"/>
        </w:rPr>
        <w:t>24</w:t>
      </w:r>
      <w:r>
        <w:rPr>
          <w:rFonts w:hint="eastAsia" w:ascii="Arial" w:hAnsi="Arial" w:eastAsia="宋体" w:cs="Arial"/>
          <w:b/>
          <w:bCs/>
          <w:sz w:val="22"/>
          <w:szCs w:val="22"/>
          <w:highlight w:val="none"/>
          <w:lang w:val="en-US" w:eastAsia="zh-CN"/>
        </w:rPr>
        <w:t>0707</w:t>
      </w:r>
      <w:r>
        <w:rPr>
          <w:rFonts w:ascii="Arial" w:hAnsi="Arial" w:cs="Arial"/>
          <w:b/>
          <w:bCs/>
          <w:sz w:val="22"/>
          <w:szCs w:val="22"/>
          <w:highlight w:val="none"/>
        </w:rPr>
        <w:t>)</w:t>
      </w:r>
    </w:p>
    <w:bookmarkEnd w:id="0"/>
    <w:bookmarkEnd w:id="1"/>
    <w:p w14:paraId="28E9EA12">
      <w:pPr>
        <w:spacing w:after="60"/>
        <w:ind w:left="1985" w:hanging="1985"/>
        <w:rPr>
          <w:rFonts w:ascii="Arial" w:hAnsi="Arial" w:cs="Arial"/>
          <w:b/>
          <w:bCs/>
          <w:sz w:val="22"/>
          <w:szCs w:val="22"/>
          <w:highlight w:val="none"/>
        </w:rPr>
      </w:pPr>
      <w:bookmarkStart w:id="2" w:name="OLE_LINK61"/>
      <w:bookmarkStart w:id="3" w:name="OLE_LINK60"/>
      <w:bookmarkStart w:id="4" w:name="OLE_LINK59"/>
      <w:r>
        <w:rPr>
          <w:rFonts w:ascii="Arial" w:hAnsi="Arial" w:cs="Arial"/>
          <w:b/>
          <w:sz w:val="22"/>
          <w:szCs w:val="22"/>
          <w:highlight w:val="none"/>
        </w:rPr>
        <w:t>Release:</w:t>
      </w:r>
      <w:r>
        <w:rPr>
          <w:rFonts w:ascii="Arial" w:hAnsi="Arial" w:cs="Arial"/>
          <w:b/>
          <w:bCs/>
          <w:sz w:val="22"/>
          <w:szCs w:val="22"/>
          <w:highlight w:val="none"/>
        </w:rPr>
        <w:tab/>
      </w:r>
      <w:r>
        <w:rPr>
          <w:rFonts w:hint="eastAsia" w:ascii="Arial" w:hAnsi="Arial" w:cs="Arial"/>
          <w:b/>
          <w:bCs/>
          <w:sz w:val="22"/>
          <w:szCs w:val="22"/>
          <w:highlight w:val="none"/>
          <w:lang w:eastAsia="zh-CN"/>
        </w:rPr>
        <w:t>Rel-1</w:t>
      </w:r>
      <w:r>
        <w:rPr>
          <w:rFonts w:hint="eastAsia" w:ascii="Arial" w:hAnsi="Arial" w:cs="Arial"/>
          <w:b/>
          <w:bCs/>
          <w:sz w:val="22"/>
          <w:szCs w:val="22"/>
          <w:highlight w:val="none"/>
          <w:lang w:val="en-US" w:eastAsia="zh-CN"/>
        </w:rPr>
        <w:t>8</w:t>
      </w:r>
    </w:p>
    <w:bookmarkEnd w:id="2"/>
    <w:bookmarkEnd w:id="3"/>
    <w:bookmarkEnd w:id="4"/>
    <w:p w14:paraId="15E207BC">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highlight w:val="none"/>
        </w:rPr>
        <w:t>Work Item:</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NG_RTC</w:t>
      </w:r>
    </w:p>
    <w:p w14:paraId="4B86980C">
      <w:pPr>
        <w:spacing w:after="60"/>
        <w:ind w:left="1985" w:hanging="1985"/>
        <w:rPr>
          <w:rFonts w:ascii="Arial" w:hAnsi="Arial" w:cs="Arial"/>
          <w:b/>
          <w:sz w:val="22"/>
          <w:szCs w:val="22"/>
          <w:highlight w:val="none"/>
        </w:rPr>
      </w:pPr>
    </w:p>
    <w:p w14:paraId="12FED5AC">
      <w:pPr>
        <w:spacing w:after="60"/>
        <w:ind w:left="1985" w:hanging="1985"/>
        <w:rPr>
          <w:rFonts w:hint="default" w:ascii="Arial" w:hAnsi="Arial" w:eastAsia="宋体" w:cs="Arial"/>
          <w:b/>
          <w:bCs w:val="0"/>
          <w:sz w:val="22"/>
          <w:szCs w:val="22"/>
          <w:highlight w:val="none"/>
          <w:lang w:val="en-US" w:eastAsia="zh-CN"/>
        </w:rPr>
      </w:pPr>
      <w:r>
        <w:rPr>
          <w:rFonts w:ascii="Arial" w:hAnsi="Arial" w:cs="Arial"/>
          <w:b/>
          <w:sz w:val="22"/>
          <w:szCs w:val="22"/>
          <w:highlight w:val="none"/>
        </w:rPr>
        <w:t>Source:</w:t>
      </w:r>
      <w:r>
        <w:rPr>
          <w:rFonts w:ascii="Arial" w:hAnsi="Arial" w:cs="Arial"/>
          <w:b/>
          <w:sz w:val="22"/>
          <w:szCs w:val="22"/>
          <w:highlight w:val="none"/>
        </w:rPr>
        <w:tab/>
      </w:r>
      <w:r>
        <w:rPr>
          <w:rFonts w:hint="eastAsia" w:ascii="Arial" w:hAnsi="Arial" w:eastAsia="宋体" w:cs="Arial"/>
          <w:b/>
          <w:bCs w:val="0"/>
          <w:color w:val="000000"/>
          <w:highlight w:val="none"/>
          <w:lang w:val="en-US" w:eastAsia="zh-CN"/>
        </w:rPr>
        <w:t>China Mobile (will be SA2)</w:t>
      </w:r>
    </w:p>
    <w:p w14:paraId="6EE0D173">
      <w:pPr>
        <w:spacing w:after="60"/>
        <w:ind w:left="1985" w:hanging="1985"/>
        <w:rPr>
          <w:rFonts w:hint="default" w:ascii="Arial" w:hAnsi="Arial" w:eastAsia="宋体" w:cs="Arial"/>
          <w:b/>
          <w:bCs w:val="0"/>
          <w:sz w:val="22"/>
          <w:szCs w:val="22"/>
          <w:highlight w:val="none"/>
          <w:lang w:val="en-US" w:eastAsia="zh-CN"/>
        </w:rPr>
      </w:pPr>
      <w:r>
        <w:rPr>
          <w:rFonts w:ascii="Arial" w:hAnsi="Arial" w:cs="Arial"/>
          <w:b/>
          <w:sz w:val="22"/>
          <w:szCs w:val="22"/>
          <w:highlight w:val="none"/>
        </w:rPr>
        <w:t>To:</w:t>
      </w:r>
      <w:r>
        <w:rPr>
          <w:rFonts w:ascii="Arial" w:hAnsi="Arial" w:cs="Arial"/>
          <w:b/>
          <w:bCs/>
          <w:sz w:val="22"/>
          <w:szCs w:val="22"/>
          <w:highlight w:val="none"/>
        </w:rPr>
        <w:tab/>
      </w:r>
      <w:r>
        <w:rPr>
          <w:rFonts w:hint="eastAsia" w:ascii="Arial" w:hAnsi="Arial" w:eastAsia="宋体" w:cs="Arial"/>
          <w:b/>
          <w:bCs w:val="0"/>
          <w:color w:val="000000"/>
          <w:highlight w:val="none"/>
          <w:lang w:val="en-US" w:eastAsia="zh-CN"/>
        </w:rPr>
        <w:t>SA3-LI</w:t>
      </w:r>
    </w:p>
    <w:p w14:paraId="7AE5DEF9">
      <w:pPr>
        <w:spacing w:after="60"/>
        <w:ind w:left="1985" w:hanging="1985"/>
        <w:rPr>
          <w:rFonts w:hint="default" w:ascii="Arial" w:hAnsi="Arial" w:cs="Arial"/>
          <w:b/>
          <w:bCs/>
          <w:sz w:val="22"/>
          <w:szCs w:val="22"/>
          <w:highlight w:val="none"/>
          <w:lang w:val="en-US"/>
        </w:rPr>
      </w:pPr>
      <w:bookmarkStart w:id="5" w:name="OLE_LINK45"/>
      <w:bookmarkStart w:id="6" w:name="OLE_LINK46"/>
      <w:r>
        <w:rPr>
          <w:rFonts w:ascii="Arial" w:hAnsi="Arial" w:cs="Arial"/>
          <w:b/>
          <w:sz w:val="22"/>
          <w:szCs w:val="22"/>
          <w:highlight w:val="none"/>
        </w:rPr>
        <w:t>Cc:</w:t>
      </w:r>
      <w:r>
        <w:rPr>
          <w:rFonts w:ascii="Arial" w:hAnsi="Arial" w:cs="Arial"/>
          <w:b/>
          <w:bCs/>
          <w:sz w:val="22"/>
          <w:szCs w:val="22"/>
          <w:highlight w:val="none"/>
        </w:rPr>
        <w:tab/>
      </w:r>
      <w:r>
        <w:rPr>
          <w:rFonts w:ascii="Arial" w:hAnsi="Arial" w:eastAsia="等线" w:cs="Arial"/>
          <w:b/>
          <w:lang w:val="fr-FR" w:eastAsia="zh-CN"/>
        </w:rPr>
        <w:t>SA4, CT1, CT4</w:t>
      </w:r>
      <w:r>
        <w:rPr>
          <w:rFonts w:hint="eastAsia" w:ascii="Arial" w:hAnsi="Arial" w:eastAsia="等线" w:cs="Arial"/>
          <w:b/>
          <w:lang w:val="en-US" w:eastAsia="zh-CN"/>
        </w:rPr>
        <w:t>, SA3</w:t>
      </w:r>
    </w:p>
    <w:bookmarkEnd w:id="5"/>
    <w:bookmarkEnd w:id="6"/>
    <w:p w14:paraId="014DF0A5">
      <w:pPr>
        <w:spacing w:after="60"/>
        <w:ind w:left="1985" w:hanging="1985"/>
        <w:rPr>
          <w:rFonts w:ascii="Arial" w:hAnsi="Arial" w:cs="Arial"/>
          <w:bCs/>
          <w:highlight w:val="none"/>
        </w:rPr>
      </w:pPr>
    </w:p>
    <w:p w14:paraId="189B5236">
      <w:pPr>
        <w:spacing w:after="60"/>
        <w:ind w:left="1985" w:hanging="1985"/>
        <w:rPr>
          <w:rFonts w:hint="eastAsia" w:ascii="Arial" w:hAnsi="Arial" w:eastAsia="宋体" w:cs="Arial"/>
          <w:b/>
          <w:bCs/>
          <w:sz w:val="22"/>
          <w:szCs w:val="22"/>
          <w:highlight w:val="none"/>
          <w:lang w:val="en-US" w:eastAsia="zh-CN"/>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Yi Jiang</w:t>
      </w:r>
    </w:p>
    <w:p w14:paraId="35FC2B92">
      <w:pPr>
        <w:spacing w:after="60"/>
        <w:ind w:left="1985" w:firstLine="0" w:firstLineChars="0"/>
        <w:rPr>
          <w:rFonts w:hint="default" w:ascii="Arial" w:hAnsi="Arial" w:eastAsia="宋体" w:cs="Arial"/>
          <w:b/>
          <w:bCs/>
          <w:sz w:val="22"/>
          <w:szCs w:val="22"/>
          <w:highlight w:val="none"/>
          <w:lang w:val="en-US" w:eastAsia="zh-CN"/>
        </w:rPr>
      </w:pPr>
      <w:r>
        <w:rPr>
          <w:rFonts w:hint="eastAsia" w:ascii="Arial" w:hAnsi="Arial" w:eastAsia="宋体" w:cs="Arial"/>
          <w:b/>
          <w:bCs/>
          <w:sz w:val="22"/>
          <w:szCs w:val="22"/>
          <w:highlight w:val="none"/>
          <w:lang w:val="en-US" w:eastAsia="zh-CN"/>
        </w:rPr>
        <w:t>yijiang at Chinamobile dot com</w:t>
      </w:r>
    </w:p>
    <w:p w14:paraId="296CE931">
      <w:pPr>
        <w:spacing w:after="60"/>
        <w:ind w:left="1985" w:hanging="1985"/>
        <w:rPr>
          <w:rFonts w:ascii="Arial" w:hAnsi="Arial" w:cs="Arial"/>
          <w:b/>
          <w:bCs/>
          <w:sz w:val="22"/>
          <w:szCs w:val="22"/>
          <w:highlight w:val="none"/>
        </w:rPr>
      </w:pPr>
      <w:r>
        <w:rPr>
          <w:rFonts w:ascii="Arial" w:hAnsi="Arial" w:cs="Arial"/>
          <w:b/>
          <w:bCs/>
          <w:sz w:val="22"/>
          <w:szCs w:val="22"/>
          <w:highlight w:val="none"/>
        </w:rPr>
        <w:tab/>
      </w:r>
    </w:p>
    <w:p w14:paraId="5E9DDB70">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22"/>
          <w:rFonts w:ascii="Arial" w:hAnsi="Arial" w:cs="Arial"/>
          <w:b/>
          <w:sz w:val="22"/>
          <w:szCs w:val="22"/>
          <w:highlight w:val="none"/>
        </w:rPr>
        <w:t>mailto:3GPPLiaison@etsi.org</w:t>
      </w:r>
      <w:r>
        <w:rPr>
          <w:rStyle w:val="22"/>
          <w:rFonts w:ascii="Arial" w:hAnsi="Arial" w:cs="Arial"/>
          <w:b/>
          <w:sz w:val="22"/>
          <w:szCs w:val="22"/>
          <w:highlight w:val="none"/>
        </w:rPr>
        <w:fldChar w:fldCharType="end"/>
      </w:r>
    </w:p>
    <w:p w14:paraId="02215C86">
      <w:pPr>
        <w:spacing w:after="60"/>
        <w:ind w:left="1985" w:hanging="1985"/>
        <w:rPr>
          <w:rFonts w:ascii="Arial" w:hAnsi="Arial" w:cs="Arial"/>
          <w:b/>
          <w:highlight w:val="none"/>
        </w:rPr>
      </w:pPr>
    </w:p>
    <w:p w14:paraId="529A5E41">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14:paraId="6C9E985E">
      <w:pPr>
        <w:rPr>
          <w:rFonts w:ascii="Arial" w:hAnsi="Arial" w:cs="Arial"/>
          <w:highlight w:val="none"/>
        </w:rPr>
      </w:pPr>
    </w:p>
    <w:p w14:paraId="103B6297">
      <w:pPr>
        <w:pStyle w:val="2"/>
        <w:rPr>
          <w:highlight w:val="none"/>
        </w:rPr>
      </w:pPr>
      <w:r>
        <w:rPr>
          <w:highlight w:val="none"/>
        </w:rPr>
        <w:t>1</w:t>
      </w:r>
      <w:r>
        <w:rPr>
          <w:highlight w:val="none"/>
        </w:rPr>
        <w:tab/>
      </w:r>
      <w:r>
        <w:rPr>
          <w:highlight w:val="none"/>
        </w:rPr>
        <w:t>Overall description</w:t>
      </w:r>
    </w:p>
    <w:p w14:paraId="43E319B7">
      <w:pPr>
        <w:rPr>
          <w:rFonts w:hint="default" w:ascii="Arial" w:hAnsi="Arial" w:cs="Arial"/>
          <w:iCs/>
          <w:highlight w:val="none"/>
          <w:lang w:eastAsia="zh-CN"/>
        </w:rPr>
      </w:pPr>
      <w:r>
        <w:rPr>
          <w:rFonts w:hint="default" w:ascii="Arial" w:hAnsi="Arial" w:cs="Arial"/>
          <w:iCs/>
          <w:highlight w:val="none"/>
          <w:lang w:eastAsia="zh-CN"/>
        </w:rPr>
        <w:t>SA2 thanks SA WG</w:t>
      </w:r>
      <w:r>
        <w:rPr>
          <w:rFonts w:hint="eastAsia" w:ascii="Arial" w:hAnsi="Arial" w:cs="Arial"/>
          <w:iCs/>
          <w:highlight w:val="none"/>
          <w:lang w:val="en-US" w:eastAsia="zh-CN"/>
        </w:rPr>
        <w:t>3</w:t>
      </w:r>
      <w:r>
        <w:rPr>
          <w:rFonts w:hint="default" w:ascii="Arial" w:hAnsi="Arial" w:cs="Arial"/>
          <w:iCs/>
          <w:highlight w:val="none"/>
          <w:lang w:eastAsia="zh-CN"/>
        </w:rPr>
        <w:t xml:space="preserve"> for the LS on request for IMS Data Channel related clarifications. </w:t>
      </w:r>
    </w:p>
    <w:p w14:paraId="36E28F8D">
      <w:pPr>
        <w:rPr>
          <w:rFonts w:hint="default" w:ascii="Arial" w:hAnsi="Arial" w:cs="Arial"/>
          <w:iCs/>
          <w:highlight w:val="none"/>
          <w:lang w:val="en-US" w:eastAsia="zh-CN"/>
        </w:rPr>
      </w:pPr>
      <w:r>
        <w:rPr>
          <w:rFonts w:hint="eastAsia" w:ascii="Arial" w:hAnsi="Arial" w:cs="Arial"/>
          <w:iCs/>
          <w:highlight w:val="none"/>
          <w:lang w:val="en-US" w:eastAsia="zh-CN"/>
        </w:rPr>
        <w:t>SA2 clarifies that from IMS architectural perspective the DCSF and MF are required to be present in the IMS network that supports and provides IMS data channel services.</w:t>
      </w:r>
    </w:p>
    <w:p w14:paraId="439B0DC2">
      <w:pPr>
        <w:rPr>
          <w:rFonts w:hint="default" w:ascii="Arial" w:hAnsi="Arial" w:cs="Arial"/>
          <w:iCs/>
          <w:highlight w:val="none"/>
          <w:lang w:val="en-US" w:eastAsia="zh-CN"/>
        </w:rPr>
      </w:pPr>
      <w:r>
        <w:rPr>
          <w:rFonts w:hint="eastAsia" w:ascii="Arial" w:hAnsi="Arial" w:cs="Arial"/>
          <w:iCs/>
          <w:highlight w:val="none"/>
          <w:lang w:val="en-US" w:eastAsia="zh-CN"/>
        </w:rPr>
        <w:t>SA2 provides answers to the questions in the LS as below:</w:t>
      </w:r>
    </w:p>
    <w:p w14:paraId="633DA814">
      <w:pPr>
        <w:numPr>
          <w:ilvl w:val="0"/>
          <w:numId w:val="5"/>
        </w:numPr>
        <w:spacing w:after="120"/>
        <w:ind w:left="720" w:hanging="360"/>
        <w:rPr>
          <w:rFonts w:ascii="Arial" w:hAnsi="Arial" w:eastAsia="等线" w:cs="Calibri"/>
          <w:sz w:val="20"/>
          <w:szCs w:val="20"/>
          <w:lang w:val="en-US" w:eastAsia="zh-CN" w:bidi="ar-SA"/>
        </w:rPr>
      </w:pPr>
      <w:r>
        <w:rPr>
          <w:rFonts w:ascii="Arial" w:hAnsi="Arial" w:eastAsia="等线" w:cs="Calibri"/>
          <w:sz w:val="20"/>
          <w:szCs w:val="20"/>
          <w:lang w:val="en-US" w:eastAsia="zh-CN" w:bidi="ar-SA"/>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4BEAF086">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SA2 answer: Yes, if the remote UE has subscription of IMS data channel.</w:t>
      </w:r>
    </w:p>
    <w:p w14:paraId="1C4DD9AD">
      <w:pPr>
        <w:numPr>
          <w:ilvl w:val="0"/>
          <w:numId w:val="0"/>
        </w:numPr>
        <w:spacing w:after="120"/>
        <w:ind w:left="360" w:leftChars="0"/>
        <w:rPr>
          <w:rFonts w:hint="eastAsia" w:ascii="Arial" w:hAnsi="Arial" w:eastAsia="等线" w:cs="Calibri"/>
          <w:sz w:val="20"/>
          <w:szCs w:val="20"/>
          <w:lang w:val="en-US" w:eastAsia="zh-CN" w:bidi="ar-SA"/>
        </w:rPr>
      </w:pPr>
    </w:p>
    <w:p w14:paraId="57309154">
      <w:pPr>
        <w:numPr>
          <w:ilvl w:val="0"/>
          <w:numId w:val="5"/>
        </w:numPr>
        <w:spacing w:after="120"/>
        <w:ind w:left="720" w:hanging="360"/>
        <w:rPr>
          <w:rFonts w:ascii="Arial" w:hAnsi="Arial" w:eastAsia="等线" w:cs="Calibri"/>
          <w:sz w:val="20"/>
          <w:szCs w:val="20"/>
          <w:lang w:val="en-US" w:eastAsia="zh-CN" w:bidi="ar-SA"/>
        </w:rPr>
      </w:pPr>
      <w:r>
        <w:rPr>
          <w:rFonts w:ascii="Arial" w:hAnsi="Arial" w:eastAsia="等线" w:cs="Calibri"/>
          <w:sz w:val="20"/>
          <w:szCs w:val="20"/>
          <w:lang w:val="en-US" w:eastAsia="zh-CN" w:bidi="ar-SA"/>
        </w:rPr>
        <w:t xml:space="preserve">The statement 1 is true even if the local UE and the remote UE are in the same CSP domain. </w:t>
      </w:r>
    </w:p>
    <w:p w14:paraId="0A68AA5E">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Sa2 answer: Yes. The IMS AS notifies events to the DCSF separately for local UE and remote UE.</w:t>
      </w:r>
    </w:p>
    <w:p w14:paraId="6586ADC2">
      <w:pPr>
        <w:numPr>
          <w:ilvl w:val="0"/>
          <w:numId w:val="0"/>
        </w:numPr>
        <w:spacing w:after="120"/>
        <w:ind w:left="360" w:leftChars="0"/>
        <w:rPr>
          <w:rFonts w:hint="default" w:ascii="Arial" w:hAnsi="Arial" w:eastAsia="等线" w:cs="Calibri"/>
          <w:sz w:val="20"/>
          <w:szCs w:val="20"/>
          <w:lang w:val="en-US" w:eastAsia="zh-CN" w:bidi="ar-SA"/>
        </w:rPr>
      </w:pPr>
    </w:p>
    <w:p w14:paraId="6B3F36AB">
      <w:pPr>
        <w:numPr>
          <w:ilvl w:val="0"/>
          <w:numId w:val="5"/>
        </w:numPr>
        <w:spacing w:after="120"/>
        <w:ind w:left="720" w:hanging="360"/>
        <w:rPr>
          <w:rFonts w:ascii="Arial" w:hAnsi="Arial" w:eastAsia="等线" w:cs="Calibri"/>
          <w:sz w:val="20"/>
          <w:szCs w:val="20"/>
          <w:lang w:val="en-US" w:eastAsia="zh-CN" w:bidi="ar-SA"/>
        </w:rPr>
      </w:pPr>
      <w:r>
        <w:rPr>
          <w:rFonts w:ascii="Arial" w:hAnsi="Arial" w:eastAsia="等线" w:cs="Calibri"/>
          <w:sz w:val="20"/>
          <w:szCs w:val="20"/>
          <w:lang w:val="en-US" w:eastAsia="zh-CN" w:bidi="ar-SA"/>
        </w:rPr>
        <w:t xml:space="preserve">In addition to notifying the DCSF, the Remote UE’s network would also have an MF on the IMS Data Channel media. </w:t>
      </w:r>
    </w:p>
    <w:p w14:paraId="2D4B90B7">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SA2 answer: The IMS data channel media may not be anchored on an MF, if the data channel is a P2P application data channel and has no requirement to be anchored for media processing.</w:t>
      </w:r>
    </w:p>
    <w:p w14:paraId="233F017B">
      <w:pPr>
        <w:numPr>
          <w:ilvl w:val="0"/>
          <w:numId w:val="0"/>
        </w:numPr>
        <w:spacing w:after="120"/>
        <w:ind w:left="360" w:leftChars="0"/>
        <w:rPr>
          <w:rFonts w:hint="default" w:ascii="Arial" w:hAnsi="Arial" w:eastAsia="等线" w:cs="Calibri"/>
          <w:sz w:val="20"/>
          <w:szCs w:val="20"/>
          <w:lang w:val="en-US" w:eastAsia="zh-CN" w:bidi="ar-SA"/>
        </w:rPr>
      </w:pPr>
    </w:p>
    <w:p w14:paraId="582B1ECD">
      <w:pPr>
        <w:numPr>
          <w:ilvl w:val="0"/>
          <w:numId w:val="5"/>
        </w:numPr>
        <w:spacing w:after="120"/>
        <w:ind w:left="720" w:hanging="360"/>
        <w:rPr>
          <w:rFonts w:ascii="Arial" w:hAnsi="Arial" w:eastAsia="等线" w:cs="Calibri"/>
          <w:sz w:val="20"/>
          <w:szCs w:val="20"/>
          <w:lang w:val="en-US" w:eastAsia="zh-CN" w:bidi="ar-SA"/>
        </w:rPr>
      </w:pPr>
      <w:r>
        <w:rPr>
          <w:rFonts w:ascii="Arial" w:hAnsi="Arial" w:eastAsia="等线" w:cs="Calibri"/>
          <w:sz w:val="20"/>
          <w:szCs w:val="20"/>
          <w:lang w:val="en-US" w:eastAsia="zh-CN" w:bidi="ar-SA"/>
        </w:rPr>
        <w:t>In the SessionEvenNotifictions, how are the Calling Identity and Called Identity populated by the IMS AS (i.e. which SIP headers from the initial INVITE, re-INVITE are used)?</w:t>
      </w:r>
    </w:p>
    <w:p w14:paraId="2AF968B2">
      <w:pPr>
        <w:numPr>
          <w:ilvl w:val="0"/>
          <w:numId w:val="0"/>
        </w:numPr>
        <w:spacing w:after="120"/>
        <w:ind w:left="360" w:leftChars="0"/>
        <w:rPr>
          <w:rFonts w:hint="eastAsia" w:ascii="Arial" w:hAnsi="Arial" w:eastAsia="宋体" w:cs="Times New Roman"/>
          <w:lang w:val="en-US" w:eastAsia="zh-CN" w:bidi="ar-SA"/>
        </w:rPr>
      </w:pPr>
      <w:r>
        <w:rPr>
          <w:rFonts w:hint="eastAsia" w:ascii="Arial" w:hAnsi="Arial" w:eastAsia="等线" w:cs="Calibri"/>
          <w:sz w:val="20"/>
          <w:szCs w:val="20"/>
          <w:lang w:val="en-US" w:eastAsia="zh-CN" w:bidi="ar-SA"/>
        </w:rPr>
        <w:t xml:space="preserve">SA2 answer: </w:t>
      </w:r>
      <w:r>
        <w:rPr>
          <w:rFonts w:hint="eastAsia" w:ascii="Arial" w:hAnsi="Arial" w:eastAsia="宋体" w:cs="Times New Roman"/>
          <w:lang w:val="en-US" w:eastAsia="zh-CN" w:bidi="ar-SA"/>
        </w:rPr>
        <w:t>Not in the scope of SA2.</w:t>
      </w:r>
    </w:p>
    <w:p w14:paraId="298C5D28">
      <w:pPr>
        <w:numPr>
          <w:ilvl w:val="0"/>
          <w:numId w:val="0"/>
        </w:numPr>
        <w:spacing w:after="120"/>
        <w:ind w:left="360" w:leftChars="0"/>
        <w:rPr>
          <w:rFonts w:hint="default" w:ascii="Arial" w:hAnsi="Arial" w:eastAsia="宋体" w:cs="Times New Roman"/>
          <w:lang w:val="en-US" w:eastAsia="zh-CN" w:bidi="ar-SA"/>
        </w:rPr>
      </w:pPr>
    </w:p>
    <w:p w14:paraId="06E7EDC6">
      <w:pPr>
        <w:numPr>
          <w:ilvl w:val="0"/>
          <w:numId w:val="5"/>
        </w:numPr>
        <w:spacing w:after="120"/>
        <w:ind w:left="720" w:hanging="360"/>
        <w:rPr>
          <w:rFonts w:ascii="Arial" w:hAnsi="Arial" w:eastAsia="等线" w:cs="Calibri"/>
          <w:sz w:val="20"/>
          <w:szCs w:val="20"/>
          <w:lang w:val="en-US" w:eastAsia="zh-CN" w:bidi="ar-SA"/>
        </w:rPr>
      </w:pPr>
      <w:r>
        <w:rPr>
          <w:rFonts w:ascii="Arial" w:hAnsi="Arial" w:eastAsia="等线" w:cs="Calibri"/>
          <w:sz w:val="20"/>
          <w:szCs w:val="20"/>
          <w:lang w:val="en-US" w:eastAsia="zh-CN" w:bidi="ar-SA"/>
        </w:rPr>
        <w:t xml:space="preserve">If call forwarding occurs at the terminating side (clause 10.123, TS 24.186), the two users present on the established IMS session (i.e. after the successful redirection) are: </w:t>
      </w:r>
    </w:p>
    <w:p w14:paraId="6C630DD3">
      <w:pPr>
        <w:numPr>
          <w:ilvl w:val="1"/>
          <w:numId w:val="6"/>
        </w:numPr>
        <w:ind w:left="1440" w:hanging="360"/>
        <w:jc w:val="both"/>
        <w:rPr>
          <w:rFonts w:ascii="Arial" w:hAnsi="Arial" w:eastAsia="Batang" w:cs="Times New Roman"/>
          <w:lang w:val="en-US" w:eastAsia="zh-CN" w:bidi="ar-SA"/>
        </w:rPr>
      </w:pPr>
      <w:r>
        <w:rPr>
          <w:rFonts w:ascii="Arial" w:hAnsi="Arial" w:eastAsia="Batang" w:cs="Times New Roman"/>
          <w:lang w:val="en-US" w:eastAsia="zh-CN" w:bidi="ar-SA"/>
        </w:rPr>
        <w:t>Original calling party.</w:t>
      </w:r>
    </w:p>
    <w:p w14:paraId="64F43D30">
      <w:pPr>
        <w:numPr>
          <w:ilvl w:val="1"/>
          <w:numId w:val="6"/>
        </w:numPr>
        <w:ind w:left="1440" w:hanging="360"/>
        <w:jc w:val="both"/>
        <w:rPr>
          <w:rFonts w:ascii="Arial" w:hAnsi="Arial" w:eastAsia="Batang" w:cs="Times New Roman"/>
          <w:lang w:val="en-US" w:eastAsia="zh-CN" w:bidi="ar-SA"/>
        </w:rPr>
      </w:pPr>
      <w:r>
        <w:rPr>
          <w:rFonts w:ascii="Arial" w:hAnsi="Arial" w:eastAsia="Batang" w:cs="Times New Roman"/>
          <w:lang w:val="en-US" w:eastAsia="zh-CN" w:bidi="ar-SA"/>
        </w:rPr>
        <w:t>Redirected-to party.</w:t>
      </w:r>
    </w:p>
    <w:p w14:paraId="2ED81046">
      <w:pPr>
        <w:ind w:left="927" w:hanging="567"/>
        <w:jc w:val="both"/>
        <w:rPr>
          <w:rFonts w:ascii="Arial" w:hAnsi="Arial" w:eastAsia="Batang" w:cs="Times New Roman"/>
          <w:lang w:val="en-GB" w:eastAsia="en-US" w:bidi="ar-SA"/>
        </w:rPr>
      </w:pPr>
      <w:r>
        <w:rPr>
          <w:rFonts w:ascii="Arial" w:hAnsi="Arial" w:eastAsia="Batang" w:cs="Times New Roman"/>
          <w:lang w:val="en-GB" w:eastAsia="en-US" w:bidi="ar-SA"/>
        </w:rPr>
        <w:t xml:space="preserve">5-1: </w:t>
      </w:r>
      <w:r>
        <w:rPr>
          <w:rFonts w:ascii="Arial" w:hAnsi="Arial" w:eastAsia="Batang" w:cs="Times New Roman"/>
          <w:lang w:val="en-GB" w:eastAsia="en-US" w:bidi="ar-SA"/>
        </w:rPr>
        <w:tab/>
      </w:r>
      <w:r>
        <w:rPr>
          <w:rFonts w:ascii="Arial" w:hAnsi="Arial" w:eastAsia="Batang" w:cs="Times New Roman"/>
          <w:lang w:val="en-GB" w:eastAsia="en-US" w:bidi="ar-SA"/>
        </w:rPr>
        <w:t>Assuming Calling Identity is the original calling party, what would the Called Identity be that IMS AS sends in the session Event Notification to the DCSF, i.e.redirecting party identity or the redirected-to party identity?</w:t>
      </w:r>
    </w:p>
    <w:p w14:paraId="34FC5037">
      <w:pPr>
        <w:ind w:left="927" w:hanging="567"/>
        <w:jc w:val="both"/>
        <w:rPr>
          <w:rFonts w:hint="default" w:ascii="Arial" w:hAnsi="Arial" w:eastAsia="宋体" w:cs="Times New Roman"/>
          <w:lang w:val="en-US" w:eastAsia="zh-CN" w:bidi="ar-SA"/>
        </w:rPr>
      </w:pPr>
      <w:r>
        <w:rPr>
          <w:rFonts w:hint="eastAsia" w:ascii="Arial" w:hAnsi="Arial" w:eastAsia="宋体" w:cs="Times New Roman"/>
          <w:lang w:val="en-US" w:eastAsia="zh-CN" w:bidi="ar-SA"/>
        </w:rPr>
        <w:t>SA2 answer: Not in the scope of SA2.</w:t>
      </w:r>
    </w:p>
    <w:p w14:paraId="6D7B1626">
      <w:pPr>
        <w:ind w:left="927" w:hanging="567"/>
        <w:jc w:val="both"/>
        <w:rPr>
          <w:rFonts w:ascii="Arial" w:hAnsi="Arial" w:eastAsia="Batang" w:cs="Times New Roman"/>
          <w:lang w:val="en-GB" w:eastAsia="en-US" w:bidi="ar-SA"/>
        </w:rPr>
      </w:pPr>
      <w:r>
        <w:rPr>
          <w:rFonts w:ascii="Arial" w:hAnsi="Arial" w:eastAsia="Batang" w:cs="Times New Roman"/>
          <w:lang w:val="en-GB" w:eastAsia="en-US" w:bidi="ar-SA"/>
        </w:rPr>
        <w:t>5-2:</w:t>
      </w:r>
      <w:r>
        <w:rPr>
          <w:rFonts w:ascii="Arial" w:hAnsi="Arial" w:eastAsia="Batang" w:cs="Times New Roman"/>
          <w:lang w:val="en-GB" w:eastAsia="en-US" w:bidi="ar-SA"/>
        </w:rPr>
        <w:tab/>
      </w:r>
      <w:r>
        <w:rPr>
          <w:rFonts w:ascii="Arial" w:hAnsi="Arial" w:eastAsia="Batang" w:cs="Times New Roman"/>
          <w:lang w:val="en-GB" w:eastAsia="en-US" w:bidi="ar-SA"/>
        </w:rPr>
        <w:t>If it is the former, what would be purpose including the Called Identity in the Session Event Notification, specially, when that user is not using the IMS Data Channel?</w:t>
      </w:r>
    </w:p>
    <w:p w14:paraId="5C4315FC">
      <w:pPr>
        <w:ind w:left="927" w:hanging="567"/>
        <w:jc w:val="both"/>
        <w:rPr>
          <w:rFonts w:hint="default" w:ascii="Arial" w:hAnsi="Arial" w:eastAsia="宋体" w:cs="Times New Roman"/>
          <w:lang w:val="en-US" w:eastAsia="zh-CN" w:bidi="ar-SA"/>
        </w:rPr>
      </w:pPr>
      <w:r>
        <w:rPr>
          <w:rFonts w:hint="eastAsia" w:ascii="Arial" w:hAnsi="Arial" w:eastAsia="宋体" w:cs="Times New Roman"/>
          <w:lang w:val="en-US" w:eastAsia="zh-CN" w:bidi="ar-SA"/>
        </w:rPr>
        <w:t>SA2 answer: Not in the scope of SA2.</w:t>
      </w:r>
    </w:p>
    <w:p w14:paraId="102E375D">
      <w:pPr>
        <w:ind w:left="927" w:hanging="567"/>
        <w:jc w:val="both"/>
        <w:rPr>
          <w:rFonts w:ascii="Arial" w:hAnsi="Arial" w:eastAsia="Batang" w:cs="Times New Roman"/>
          <w:lang w:val="en-GB" w:eastAsia="en-US" w:bidi="ar-SA"/>
        </w:rPr>
      </w:pPr>
      <w:r>
        <w:rPr>
          <w:rFonts w:ascii="Arial" w:hAnsi="Arial" w:eastAsia="Batang" w:cs="Times New Roman"/>
          <w:lang w:val="en-GB" w:eastAsia="en-US" w:bidi="ar-SA"/>
        </w:rPr>
        <w:t>5-3:</w:t>
      </w:r>
      <w:r>
        <w:rPr>
          <w:rFonts w:ascii="Arial" w:hAnsi="Arial" w:eastAsia="Batang" w:cs="Times New Roman"/>
          <w:lang w:val="en-GB" w:eastAsia="en-US" w:bidi="ar-SA"/>
        </w:rPr>
        <w:tab/>
      </w:r>
      <w:r>
        <w:rPr>
          <w:rFonts w:ascii="Arial" w:hAnsi="Arial" w:eastAsia="Batang" w:cs="Times New Roman"/>
          <w:lang w:val="en-GB" w:eastAsia="en-US" w:bidi="ar-SA"/>
        </w:rPr>
        <w:t xml:space="preserve">If it is the later, does the IMS-AS in the originating network know about the redirected-to party identity? </w:t>
      </w:r>
    </w:p>
    <w:p w14:paraId="10042203">
      <w:pPr>
        <w:ind w:left="927" w:hanging="567"/>
        <w:jc w:val="both"/>
        <w:rPr>
          <w:rFonts w:ascii="Arial" w:hAnsi="Arial" w:eastAsia="Batang" w:cs="Times New Roman"/>
          <w:lang w:val="en-GB" w:eastAsia="en-US" w:bidi="ar-SA"/>
        </w:rPr>
      </w:pPr>
      <w:r>
        <w:rPr>
          <w:rFonts w:hint="eastAsia" w:ascii="Arial" w:hAnsi="Arial" w:eastAsia="宋体" w:cs="Times New Roman"/>
          <w:lang w:val="en-US" w:eastAsia="zh-CN" w:bidi="ar-SA"/>
        </w:rPr>
        <w:t>SA2 answer: Not in the scope of SA2.</w:t>
      </w:r>
    </w:p>
    <w:p w14:paraId="3217AEC6">
      <w:pPr>
        <w:ind w:left="927" w:hanging="567"/>
        <w:jc w:val="both"/>
        <w:rPr>
          <w:rFonts w:hint="default"/>
          <w:highlight w:val="none"/>
          <w:lang w:val="en-US" w:eastAsia="zh-CN"/>
        </w:rPr>
      </w:pPr>
      <w:r>
        <w:rPr>
          <w:rFonts w:ascii="Arial" w:hAnsi="Arial" w:eastAsia="Batang" w:cs="Times New Roman"/>
          <w:lang w:val="en-GB" w:eastAsia="en-US" w:bidi="ar-SA"/>
        </w:rPr>
        <w:t xml:space="preserve">5-4: </w:t>
      </w:r>
      <w:r>
        <w:rPr>
          <w:rFonts w:ascii="Arial" w:hAnsi="Arial" w:eastAsia="Batang" w:cs="Times New Roman"/>
          <w:lang w:val="en-GB" w:eastAsia="en-US" w:bidi="ar-SA"/>
        </w:rPr>
        <w:tab/>
      </w:r>
      <w:r>
        <w:rPr>
          <w:rFonts w:ascii="Arial" w:hAnsi="Arial" w:eastAsia="Batang" w:cs="Times New Roman"/>
          <w:lang w:val="en-GB" w:eastAsia="en-US" w:bidi="ar-SA"/>
        </w:rPr>
        <w:t>Do the MF in the Local UE side and Remote UE side have same role – e.g., MF in the UDP Proxy or HTTP Proxy?</w:t>
      </w:r>
    </w:p>
    <w:p w14:paraId="73796169">
      <w:pPr>
        <w:ind w:left="927" w:hanging="567"/>
        <w:jc w:val="both"/>
        <w:rPr>
          <w:rFonts w:hint="default" w:ascii="Arial" w:hAnsi="Arial" w:eastAsia="宋体" w:cs="Times New Roman"/>
          <w:lang w:val="en-US" w:eastAsia="zh-CN" w:bidi="ar-SA"/>
        </w:rPr>
      </w:pPr>
      <w:r>
        <w:rPr>
          <w:rFonts w:hint="eastAsia" w:ascii="Arial" w:hAnsi="Arial" w:eastAsia="宋体" w:cs="Times New Roman"/>
          <w:lang w:val="en-US" w:eastAsia="zh-CN" w:bidi="ar-SA"/>
        </w:rPr>
        <w:t>SA2 answer: SA2 clarifies the role of the MF is in media flow granularity and is decided by the DCSF. So it is possible for a MF to have different roles for different media flows in a IMS session.</w:t>
      </w:r>
    </w:p>
    <w:p w14:paraId="7D305398">
      <w:pPr>
        <w:pStyle w:val="47"/>
        <w:numPr>
          <w:ilvl w:val="0"/>
          <w:numId w:val="0"/>
        </w:numPr>
        <w:ind w:left="284" w:leftChars="0"/>
        <w:rPr>
          <w:rFonts w:hint="default"/>
          <w:highlight w:val="none"/>
          <w:lang w:val="en-US" w:eastAsia="zh-CN"/>
        </w:rPr>
      </w:pPr>
    </w:p>
    <w:p w14:paraId="449A66B6">
      <w:pPr>
        <w:pStyle w:val="2"/>
        <w:rPr>
          <w:highlight w:val="none"/>
        </w:rPr>
      </w:pPr>
      <w:r>
        <w:rPr>
          <w:highlight w:val="none"/>
        </w:rPr>
        <w:t>2</w:t>
      </w:r>
      <w:r>
        <w:rPr>
          <w:highlight w:val="none"/>
        </w:rPr>
        <w:tab/>
      </w:r>
      <w:r>
        <w:rPr>
          <w:highlight w:val="none"/>
        </w:rPr>
        <w:t>Actions</w:t>
      </w:r>
    </w:p>
    <w:p w14:paraId="70D801B0">
      <w:pPr>
        <w:spacing w:after="120"/>
        <w:ind w:left="1985" w:hanging="1985"/>
        <w:rPr>
          <w:rFonts w:hint="default" w:ascii="Arial" w:hAnsi="Arial" w:eastAsia="宋体" w:cs="Arial"/>
          <w:b/>
          <w:highlight w:val="none"/>
          <w:lang w:val="en-US" w:eastAsia="zh-CN"/>
        </w:rPr>
      </w:pPr>
      <w:r>
        <w:rPr>
          <w:rFonts w:ascii="Arial" w:hAnsi="Arial" w:cs="Arial"/>
          <w:b/>
          <w:highlight w:val="none"/>
        </w:rPr>
        <w:t>To SA</w:t>
      </w:r>
      <w:r>
        <w:rPr>
          <w:rFonts w:hint="eastAsia" w:ascii="Arial" w:hAnsi="Arial" w:eastAsia="宋体" w:cs="Arial"/>
          <w:b/>
          <w:highlight w:val="none"/>
          <w:lang w:val="en-US" w:eastAsia="zh-CN"/>
        </w:rPr>
        <w:t>3-LI</w:t>
      </w:r>
    </w:p>
    <w:p w14:paraId="296141B1">
      <w:pPr>
        <w:spacing w:after="120"/>
        <w:ind w:left="993" w:hanging="993"/>
        <w:rPr>
          <w:rFonts w:hint="default" w:ascii="Arial" w:hAnsi="Arial" w:cs="Arial"/>
          <w:highlight w:val="none"/>
        </w:rPr>
      </w:pPr>
      <w:r>
        <w:rPr>
          <w:rFonts w:ascii="Arial" w:hAnsi="Arial" w:cs="Arial"/>
          <w:b/>
          <w:highlight w:val="none"/>
        </w:rPr>
        <w:t xml:space="preserve">ACTION: </w:t>
      </w:r>
      <w:r>
        <w:rPr>
          <w:rFonts w:ascii="Arial" w:hAnsi="Arial" w:cs="Arial"/>
          <w:b/>
          <w:highlight w:val="none"/>
        </w:rPr>
        <w:tab/>
      </w:r>
      <w:r>
        <w:rPr>
          <w:rFonts w:hint="default" w:ascii="Arial" w:hAnsi="Arial" w:cs="Arial"/>
          <w:highlight w:val="none"/>
        </w:rPr>
        <w:t>SA</w:t>
      </w:r>
      <w:r>
        <w:rPr>
          <w:rFonts w:hint="default" w:ascii="Arial" w:hAnsi="Arial" w:eastAsia="宋体" w:cs="Arial"/>
          <w:highlight w:val="none"/>
          <w:lang w:val="en-US" w:eastAsia="zh-CN"/>
        </w:rPr>
        <w:t>2</w:t>
      </w:r>
      <w:r>
        <w:rPr>
          <w:rFonts w:hint="default" w:ascii="Arial" w:hAnsi="Arial" w:cs="Arial"/>
          <w:highlight w:val="none"/>
        </w:rPr>
        <w:t xml:space="preserve"> kindly asks SA</w:t>
      </w:r>
      <w:r>
        <w:rPr>
          <w:rFonts w:hint="eastAsia" w:ascii="Arial" w:hAnsi="Arial" w:eastAsia="宋体" w:cs="Arial"/>
          <w:highlight w:val="none"/>
          <w:lang w:val="en-US" w:eastAsia="zh-CN"/>
        </w:rPr>
        <w:t>3-LI</w:t>
      </w:r>
      <w:r>
        <w:rPr>
          <w:rFonts w:hint="default" w:ascii="Arial" w:hAnsi="Arial" w:cs="Arial"/>
          <w:highlight w:val="none"/>
        </w:rPr>
        <w:t xml:space="preserve"> to </w:t>
      </w:r>
      <w:r>
        <w:rPr>
          <w:rFonts w:hint="default" w:ascii="Arial" w:hAnsi="Arial" w:eastAsia="宋体" w:cs="Arial"/>
          <w:highlight w:val="none"/>
          <w:lang w:val="en-US" w:eastAsia="zh-CN"/>
        </w:rPr>
        <w:t>taken the answers above into account</w:t>
      </w:r>
      <w:r>
        <w:rPr>
          <w:rFonts w:hint="default" w:ascii="Arial" w:hAnsi="Arial" w:cs="Arial"/>
          <w:highlight w:val="none"/>
        </w:rPr>
        <w:t>.</w:t>
      </w:r>
    </w:p>
    <w:p w14:paraId="3A7B19C3">
      <w:pPr>
        <w:pStyle w:val="2"/>
        <w:rPr>
          <w:szCs w:val="36"/>
          <w:highlight w:val="none"/>
        </w:rPr>
      </w:pPr>
      <w:r>
        <w:rPr>
          <w:szCs w:val="36"/>
          <w:highlight w:val="none"/>
        </w:rPr>
        <w:t>3</w:t>
      </w:r>
      <w:r>
        <w:rPr>
          <w:szCs w:val="36"/>
          <w:highlight w:val="none"/>
        </w:rPr>
        <w:tab/>
      </w:r>
      <w:r>
        <w:rPr>
          <w:szCs w:val="36"/>
          <w:highlight w:val="none"/>
        </w:rPr>
        <w:t xml:space="preserve">Dates of next </w:t>
      </w:r>
      <w:r>
        <w:rPr>
          <w:rFonts w:cs="Arial"/>
          <w:bCs/>
          <w:szCs w:val="36"/>
          <w:highlight w:val="none"/>
        </w:rPr>
        <w:t xml:space="preserve">TSG </w:t>
      </w:r>
      <w:r>
        <w:rPr>
          <w:rFonts w:cs="Arial"/>
          <w:szCs w:val="36"/>
          <w:highlight w:val="none"/>
        </w:rPr>
        <w:t>SA</w:t>
      </w:r>
      <w:r>
        <w:rPr>
          <w:rFonts w:cs="Arial"/>
          <w:bCs/>
          <w:szCs w:val="36"/>
          <w:highlight w:val="none"/>
        </w:rPr>
        <w:t xml:space="preserve"> WG </w:t>
      </w:r>
      <w:r>
        <w:rPr>
          <w:rFonts w:hint="eastAsia" w:eastAsia="宋体" w:cs="Arial"/>
          <w:bCs/>
          <w:szCs w:val="36"/>
          <w:highlight w:val="none"/>
          <w:lang w:val="en-US" w:eastAsia="zh-CN"/>
        </w:rPr>
        <w:t>2</w:t>
      </w:r>
      <w:r>
        <w:rPr>
          <w:szCs w:val="36"/>
          <w:highlight w:val="none"/>
        </w:rPr>
        <w:t xml:space="preserve"> meetings</w:t>
      </w:r>
    </w:p>
    <w:p w14:paraId="01EF562B">
      <w:pPr>
        <w:tabs>
          <w:tab w:val="left" w:pos="5103"/>
        </w:tabs>
        <w:spacing w:after="120"/>
        <w:rPr>
          <w:rFonts w:hint="default" w:ascii="Arial" w:hAnsi="Arial" w:cs="Arial"/>
          <w:bCs/>
          <w:highlight w:val="none"/>
          <w:lang w:val="en-US" w:eastAsia="zh-CN"/>
        </w:rPr>
      </w:pPr>
      <w:r>
        <w:rPr>
          <w:rFonts w:hint="eastAsia" w:ascii="Arial" w:hAnsi="Arial" w:cs="Arial"/>
          <w:bCs/>
          <w:highlight w:val="none"/>
          <w:lang w:val="en-US" w:eastAsia="zh-CN"/>
        </w:rPr>
        <w:t>SA2#166-Ad Hoc-e                 20</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 24</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January 2025                  Online</w:t>
      </w:r>
    </w:p>
    <w:p w14:paraId="70A297B7">
      <w:pPr>
        <w:tabs>
          <w:tab w:val="left" w:pos="5103"/>
        </w:tabs>
        <w:spacing w:after="120"/>
        <w:rPr>
          <w:rFonts w:hint="default" w:ascii="Arial" w:hAnsi="Arial" w:cs="Arial"/>
          <w:bCs/>
          <w:highlight w:val="none"/>
          <w:lang w:val="en-US" w:eastAsia="zh-CN"/>
        </w:rPr>
      </w:pPr>
      <w:r>
        <w:rPr>
          <w:rFonts w:hint="eastAsia" w:ascii="Arial" w:hAnsi="Arial" w:cs="Arial"/>
          <w:bCs/>
          <w:highlight w:val="none"/>
          <w:lang w:val="en-US" w:eastAsia="zh-CN"/>
        </w:rPr>
        <w:t>SA2#167                                 17</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 21</w:t>
      </w:r>
      <w:r>
        <w:rPr>
          <w:rFonts w:hint="eastAsia" w:ascii="Arial" w:hAnsi="Arial" w:cs="Arial"/>
          <w:bCs/>
          <w:highlight w:val="none"/>
          <w:vertAlign w:val="superscript"/>
          <w:lang w:val="en-US" w:eastAsia="zh-CN"/>
        </w:rPr>
        <w:t>th</w:t>
      </w:r>
      <w:r>
        <w:rPr>
          <w:rFonts w:hint="eastAsia" w:ascii="Arial" w:hAnsi="Arial" w:cs="Arial"/>
          <w:bCs/>
          <w:highlight w:val="none"/>
          <w:lang w:val="en-US" w:eastAsia="zh-CN"/>
        </w:rPr>
        <w:t xml:space="preserve"> February 2025                Greece</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36F338D7"/>
    <w:multiLevelType w:val="multilevel"/>
    <w:tmpl w:val="36F338D7"/>
    <w:lvl w:ilvl="0" w:tentative="0">
      <w:start w:val="1"/>
      <w:numFmt w:val="bullet"/>
      <w:lvlText w:val="-"/>
      <w:lvlJc w:val="left"/>
      <w:pPr>
        <w:ind w:left="720" w:hanging="360"/>
      </w:pPr>
      <w:rPr>
        <w:rFonts w:hint="default" w:ascii="Arial" w:hAnsi="Arial" w:eastAsia="等线" w:cs="Arial"/>
      </w:rPr>
    </w:lvl>
    <w:lvl w:ilvl="1" w:tentative="0">
      <w:start w:val="9"/>
      <w:numFmt w:val="bullet"/>
      <w:lvlText w:val="-"/>
      <w:lvlJc w:val="left"/>
      <w:pPr>
        <w:ind w:left="1440" w:hanging="360"/>
      </w:pPr>
      <w:rPr>
        <w:rFonts w:hint="default" w:ascii="Times New Roman" w:hAnsi="Times New Roman" w:eastAsia="Times New Roman" w:cs="Times New Roman"/>
        <w:lang w:val="en-U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3FD5289"/>
    <w:multiLevelType w:val="multilevel"/>
    <w:tmpl w:val="53FD528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38E05E4"/>
    <w:rsid w:val="040F1E36"/>
    <w:rsid w:val="042C6B15"/>
    <w:rsid w:val="05FC3BE0"/>
    <w:rsid w:val="06187C8D"/>
    <w:rsid w:val="06EE226F"/>
    <w:rsid w:val="0891161B"/>
    <w:rsid w:val="09A301DE"/>
    <w:rsid w:val="0B4D059A"/>
    <w:rsid w:val="0B4D0B62"/>
    <w:rsid w:val="0CDC7E14"/>
    <w:rsid w:val="0E390BE2"/>
    <w:rsid w:val="0EB053A8"/>
    <w:rsid w:val="0EDF591E"/>
    <w:rsid w:val="0F033B2E"/>
    <w:rsid w:val="10306B1E"/>
    <w:rsid w:val="10845816"/>
    <w:rsid w:val="108C2D23"/>
    <w:rsid w:val="14476C53"/>
    <w:rsid w:val="14FD72CF"/>
    <w:rsid w:val="1564704D"/>
    <w:rsid w:val="15883A78"/>
    <w:rsid w:val="16003A26"/>
    <w:rsid w:val="16892685"/>
    <w:rsid w:val="16B54E09"/>
    <w:rsid w:val="17710405"/>
    <w:rsid w:val="185A0382"/>
    <w:rsid w:val="18AC53BC"/>
    <w:rsid w:val="18E13ADF"/>
    <w:rsid w:val="19954887"/>
    <w:rsid w:val="199E7715"/>
    <w:rsid w:val="1A1F0EFE"/>
    <w:rsid w:val="1A620757"/>
    <w:rsid w:val="1B1D1D3C"/>
    <w:rsid w:val="1DBD0CD6"/>
    <w:rsid w:val="1E9905C2"/>
    <w:rsid w:val="1F2C6132"/>
    <w:rsid w:val="1F857AC5"/>
    <w:rsid w:val="1FDB1D88"/>
    <w:rsid w:val="20664BB5"/>
    <w:rsid w:val="20A5723B"/>
    <w:rsid w:val="20F71596"/>
    <w:rsid w:val="21384F0D"/>
    <w:rsid w:val="233F30E4"/>
    <w:rsid w:val="23A25387"/>
    <w:rsid w:val="23EC0C7E"/>
    <w:rsid w:val="248E2A06"/>
    <w:rsid w:val="24B351C4"/>
    <w:rsid w:val="25AC31DE"/>
    <w:rsid w:val="25C73A07"/>
    <w:rsid w:val="262C6FAF"/>
    <w:rsid w:val="272F7AD6"/>
    <w:rsid w:val="27EB5C8B"/>
    <w:rsid w:val="28E74AC7"/>
    <w:rsid w:val="29A53D63"/>
    <w:rsid w:val="29BA297E"/>
    <w:rsid w:val="29E10344"/>
    <w:rsid w:val="2AB75882"/>
    <w:rsid w:val="2BA25131"/>
    <w:rsid w:val="2C1602E4"/>
    <w:rsid w:val="2CAC59CB"/>
    <w:rsid w:val="2EEA6BBF"/>
    <w:rsid w:val="31F51F83"/>
    <w:rsid w:val="32A852AA"/>
    <w:rsid w:val="331F61ED"/>
    <w:rsid w:val="33BE6FF0"/>
    <w:rsid w:val="33CC1B89"/>
    <w:rsid w:val="3463615A"/>
    <w:rsid w:val="35347986"/>
    <w:rsid w:val="360B7EBA"/>
    <w:rsid w:val="36491F1D"/>
    <w:rsid w:val="369C5735"/>
    <w:rsid w:val="36AD1C42"/>
    <w:rsid w:val="37A61E10"/>
    <w:rsid w:val="38673FBD"/>
    <w:rsid w:val="38F74F66"/>
    <w:rsid w:val="396159B3"/>
    <w:rsid w:val="39DD52FC"/>
    <w:rsid w:val="3A453A27"/>
    <w:rsid w:val="3C357867"/>
    <w:rsid w:val="3D527E27"/>
    <w:rsid w:val="3E5642C0"/>
    <w:rsid w:val="403C65F0"/>
    <w:rsid w:val="40E86709"/>
    <w:rsid w:val="4172341E"/>
    <w:rsid w:val="41974971"/>
    <w:rsid w:val="41B27457"/>
    <w:rsid w:val="429A1953"/>
    <w:rsid w:val="42BC318C"/>
    <w:rsid w:val="43064505"/>
    <w:rsid w:val="43F25407"/>
    <w:rsid w:val="44667D59"/>
    <w:rsid w:val="44B21EBC"/>
    <w:rsid w:val="44BF1C4E"/>
    <w:rsid w:val="45F6374B"/>
    <w:rsid w:val="46207231"/>
    <w:rsid w:val="46415F51"/>
    <w:rsid w:val="46A55C75"/>
    <w:rsid w:val="47752ACA"/>
    <w:rsid w:val="47F84F3B"/>
    <w:rsid w:val="49EA3854"/>
    <w:rsid w:val="49FA026B"/>
    <w:rsid w:val="4A4F0FFA"/>
    <w:rsid w:val="4AA32C82"/>
    <w:rsid w:val="4CE82EBC"/>
    <w:rsid w:val="4D470CD7"/>
    <w:rsid w:val="4E1600AB"/>
    <w:rsid w:val="4E324158"/>
    <w:rsid w:val="4E776E4B"/>
    <w:rsid w:val="4ED513E2"/>
    <w:rsid w:val="4F8B3490"/>
    <w:rsid w:val="51DA61D7"/>
    <w:rsid w:val="528D14FE"/>
    <w:rsid w:val="52DD2582"/>
    <w:rsid w:val="52E6650D"/>
    <w:rsid w:val="5422240F"/>
    <w:rsid w:val="54A23167"/>
    <w:rsid w:val="54DB45C6"/>
    <w:rsid w:val="553D0AD5"/>
    <w:rsid w:val="57DD63C7"/>
    <w:rsid w:val="5A8A0F99"/>
    <w:rsid w:val="5A9D4737"/>
    <w:rsid w:val="5B304F19"/>
    <w:rsid w:val="5D5B05E6"/>
    <w:rsid w:val="5F2659E2"/>
    <w:rsid w:val="5FF506FB"/>
    <w:rsid w:val="60EF4197"/>
    <w:rsid w:val="63AA1E11"/>
    <w:rsid w:val="63DA2F9D"/>
    <w:rsid w:val="63DE2B71"/>
    <w:rsid w:val="64701399"/>
    <w:rsid w:val="64CD2E6D"/>
    <w:rsid w:val="64E152BF"/>
    <w:rsid w:val="64E70BB3"/>
    <w:rsid w:val="654805B8"/>
    <w:rsid w:val="67D30F67"/>
    <w:rsid w:val="6B6F5ECF"/>
    <w:rsid w:val="6BDE7808"/>
    <w:rsid w:val="6CA74CD2"/>
    <w:rsid w:val="6E061640"/>
    <w:rsid w:val="6EA27F90"/>
    <w:rsid w:val="6EB846B2"/>
    <w:rsid w:val="6EEE1CA2"/>
    <w:rsid w:val="6EF140E9"/>
    <w:rsid w:val="70181D64"/>
    <w:rsid w:val="70CF2B23"/>
    <w:rsid w:val="70DC43B7"/>
    <w:rsid w:val="70F33FDC"/>
    <w:rsid w:val="7345352C"/>
    <w:rsid w:val="744C2A5A"/>
    <w:rsid w:val="74651405"/>
    <w:rsid w:val="74D84196"/>
    <w:rsid w:val="752714C3"/>
    <w:rsid w:val="76DF0815"/>
    <w:rsid w:val="77AC46E5"/>
    <w:rsid w:val="782E17BB"/>
    <w:rsid w:val="78861E4A"/>
    <w:rsid w:val="789226B3"/>
    <w:rsid w:val="79F37E22"/>
    <w:rsid w:val="7C2C3908"/>
    <w:rsid w:val="7C8548D8"/>
    <w:rsid w:val="7C922B30"/>
    <w:rsid w:val="7DC355E5"/>
    <w:rsid w:val="7EC73B8E"/>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55"/>
    <w:semiHidden/>
    <w:unhideWhenUsed/>
    <w:qFormat/>
    <w:uiPriority w:val="99"/>
    <w:rPr>
      <w:rFonts w:ascii="Tahoma" w:hAnsi="Tahoma" w:cs="Tahoma"/>
      <w:sz w:val="16"/>
      <w:szCs w:val="16"/>
    </w:rPr>
  </w:style>
  <w:style w:type="paragraph" w:styleId="15">
    <w:name w:val="Body Text"/>
    <w:basedOn w:val="1"/>
    <w:semiHidden/>
    <w:qFormat/>
    <w:uiPriority w:val="0"/>
    <w:rPr>
      <w:rFonts w:ascii="Arial" w:hAnsi="Arial" w:cs="Arial"/>
      <w:color w:val="FF0000"/>
    </w:rPr>
  </w:style>
  <w:style w:type="character" w:styleId="16">
    <w:name w:val="annotation reference"/>
    <w:semiHidden/>
    <w:qFormat/>
    <w:uiPriority w:val="0"/>
    <w:rPr>
      <w:sz w:val="16"/>
    </w:rPr>
  </w:style>
  <w:style w:type="paragraph" w:styleId="1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8">
    <w:name w:val="footer"/>
    <w:basedOn w:val="19"/>
    <w:semiHidden/>
    <w:qFormat/>
    <w:uiPriority w:val="0"/>
    <w:pPr>
      <w:jc w:val="center"/>
    </w:pPr>
    <w:rPr>
      <w:i/>
    </w:rPr>
  </w:style>
  <w:style w:type="paragraph" w:styleId="19">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20">
    <w:name w:val="footnote reference"/>
    <w:semiHidden/>
    <w:qFormat/>
    <w:uiPriority w:val="0"/>
    <w:rPr>
      <w:b/>
      <w:position w:val="6"/>
      <w:sz w:val="16"/>
    </w:rPr>
  </w:style>
  <w:style w:type="paragraph" w:styleId="21">
    <w:name w:val="footnote text"/>
    <w:basedOn w:val="1"/>
    <w:link w:val="60"/>
    <w:semiHidden/>
    <w:qFormat/>
    <w:uiPriority w:val="0"/>
    <w:pPr>
      <w:keepLines/>
      <w:spacing w:after="0"/>
      <w:ind w:left="454" w:hanging="454"/>
    </w:pPr>
    <w:rPr>
      <w:sz w:val="16"/>
    </w:rPr>
  </w:style>
  <w:style w:type="character" w:styleId="22">
    <w:name w:val="Hyperlink"/>
    <w:unhideWhenUsed/>
    <w:qFormat/>
    <w:uiPriority w:val="99"/>
    <w:rPr>
      <w:color w:val="0000FF"/>
      <w:u w:val="single"/>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List"/>
    <w:basedOn w:val="1"/>
    <w:semiHidden/>
    <w:qFormat/>
    <w:uiPriority w:val="0"/>
    <w:pPr>
      <w:ind w:left="568" w:hanging="284"/>
    </w:pPr>
  </w:style>
  <w:style w:type="paragraph" w:styleId="26">
    <w:name w:val="List 2"/>
    <w:basedOn w:val="25"/>
    <w:semiHidden/>
    <w:qFormat/>
    <w:uiPriority w:val="0"/>
    <w:pPr>
      <w:ind w:left="851"/>
    </w:pPr>
  </w:style>
  <w:style w:type="paragraph" w:styleId="27">
    <w:name w:val="List 3"/>
    <w:basedOn w:val="26"/>
    <w:semiHidden/>
    <w:qFormat/>
    <w:uiPriority w:val="0"/>
    <w:pPr>
      <w:ind w:left="1135"/>
    </w:pPr>
  </w:style>
  <w:style w:type="paragraph" w:styleId="28">
    <w:name w:val="List 4"/>
    <w:basedOn w:val="27"/>
    <w:semiHidden/>
    <w:qFormat/>
    <w:uiPriority w:val="0"/>
    <w:pPr>
      <w:ind w:left="1418"/>
    </w:pPr>
  </w:style>
  <w:style w:type="paragraph" w:styleId="29">
    <w:name w:val="List 5"/>
    <w:basedOn w:val="28"/>
    <w:semiHidden/>
    <w:qFormat/>
    <w:uiPriority w:val="0"/>
    <w:pPr>
      <w:ind w:left="1702"/>
    </w:pPr>
  </w:style>
  <w:style w:type="paragraph" w:styleId="30">
    <w:name w:val="List Bullet"/>
    <w:basedOn w:val="25"/>
    <w:semiHidden/>
    <w:qFormat/>
    <w:uiPriority w:val="0"/>
  </w:style>
  <w:style w:type="paragraph" w:styleId="31">
    <w:name w:val="List Bullet 2"/>
    <w:basedOn w:val="30"/>
    <w:semiHidden/>
    <w:qFormat/>
    <w:uiPriority w:val="0"/>
    <w:pPr>
      <w:ind w:left="851"/>
    </w:pPr>
  </w:style>
  <w:style w:type="paragraph" w:styleId="32">
    <w:name w:val="List Bullet 3"/>
    <w:basedOn w:val="31"/>
    <w:semiHidden/>
    <w:qFormat/>
    <w:uiPriority w:val="0"/>
    <w:pPr>
      <w:ind w:left="1135"/>
    </w:pPr>
  </w:style>
  <w:style w:type="paragraph" w:styleId="33">
    <w:name w:val="List Bullet 4"/>
    <w:basedOn w:val="32"/>
    <w:semiHidden/>
    <w:qFormat/>
    <w:uiPriority w:val="0"/>
    <w:pPr>
      <w:ind w:left="1418"/>
    </w:pPr>
  </w:style>
  <w:style w:type="paragraph" w:styleId="34">
    <w:name w:val="List Bullet 5"/>
    <w:basedOn w:val="33"/>
    <w:semiHidden/>
    <w:qFormat/>
    <w:uiPriority w:val="0"/>
    <w:pPr>
      <w:ind w:left="1702"/>
    </w:pPr>
  </w:style>
  <w:style w:type="paragraph" w:styleId="35">
    <w:name w:val="List Number"/>
    <w:basedOn w:val="25"/>
    <w:semiHidden/>
    <w:qFormat/>
    <w:uiPriority w:val="0"/>
  </w:style>
  <w:style w:type="paragraph" w:styleId="36">
    <w:name w:val="List Number 2"/>
    <w:basedOn w:val="35"/>
    <w:semiHidden/>
    <w:qFormat/>
    <w:uiPriority w:val="0"/>
    <w:pPr>
      <w:ind w:left="851"/>
    </w:pPr>
  </w:style>
  <w:style w:type="character" w:styleId="37">
    <w:name w:val="page number"/>
    <w:basedOn w:val="12"/>
    <w:semiHidden/>
    <w:qFormat/>
    <w:uiPriority w:val="0"/>
  </w:style>
  <w:style w:type="paragraph" w:styleId="3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39">
    <w:name w:val="toc 2"/>
    <w:basedOn w:val="38"/>
    <w:next w:val="1"/>
    <w:semiHidden/>
    <w:qFormat/>
    <w:uiPriority w:val="0"/>
    <w:pPr>
      <w:keepNext w:val="0"/>
      <w:spacing w:before="0"/>
      <w:ind w:left="851" w:hanging="851"/>
    </w:pPr>
    <w:rPr>
      <w:sz w:val="20"/>
    </w:rPr>
  </w:style>
  <w:style w:type="paragraph" w:styleId="40">
    <w:name w:val="toc 3"/>
    <w:basedOn w:val="39"/>
    <w:next w:val="1"/>
    <w:semiHidden/>
    <w:qFormat/>
    <w:uiPriority w:val="0"/>
    <w:pPr>
      <w:ind w:left="1134" w:hanging="1134"/>
    </w:pPr>
  </w:style>
  <w:style w:type="paragraph" w:styleId="41">
    <w:name w:val="toc 4"/>
    <w:basedOn w:val="40"/>
    <w:next w:val="1"/>
    <w:semiHidden/>
    <w:qFormat/>
    <w:uiPriority w:val="0"/>
    <w:pPr>
      <w:ind w:left="1418" w:hanging="1418"/>
    </w:pPr>
  </w:style>
  <w:style w:type="paragraph" w:styleId="42">
    <w:name w:val="toc 5"/>
    <w:basedOn w:val="41"/>
    <w:next w:val="1"/>
    <w:semiHidden/>
    <w:qFormat/>
    <w:uiPriority w:val="0"/>
    <w:pPr>
      <w:ind w:left="1701" w:hanging="1701"/>
    </w:pPr>
  </w:style>
  <w:style w:type="paragraph" w:styleId="43">
    <w:name w:val="toc 6"/>
    <w:basedOn w:val="42"/>
    <w:next w:val="1"/>
    <w:semiHidden/>
    <w:qFormat/>
    <w:uiPriority w:val="0"/>
    <w:pPr>
      <w:ind w:left="1985" w:hanging="1985"/>
    </w:pPr>
  </w:style>
  <w:style w:type="paragraph" w:styleId="44">
    <w:name w:val="toc 7"/>
    <w:basedOn w:val="43"/>
    <w:next w:val="1"/>
    <w:semiHidden/>
    <w:qFormat/>
    <w:uiPriority w:val="0"/>
    <w:pPr>
      <w:ind w:left="2268" w:hanging="2268"/>
    </w:pPr>
  </w:style>
  <w:style w:type="paragraph" w:styleId="45">
    <w:name w:val="toc 8"/>
    <w:basedOn w:val="38"/>
    <w:next w:val="1"/>
    <w:semiHidden/>
    <w:qFormat/>
    <w:uiPriority w:val="0"/>
    <w:pPr>
      <w:spacing w:before="180"/>
      <w:ind w:left="2693" w:hanging="2693"/>
    </w:pPr>
    <w:rPr>
      <w:b/>
    </w:rPr>
  </w:style>
  <w:style w:type="paragraph" w:styleId="46">
    <w:name w:val="toc 9"/>
    <w:basedOn w:val="45"/>
    <w:next w:val="1"/>
    <w:semiHidden/>
    <w:qFormat/>
    <w:uiPriority w:val="0"/>
    <w:pPr>
      <w:ind w:left="1418" w:hanging="1418"/>
    </w:pPr>
  </w:style>
  <w:style w:type="paragraph" w:customStyle="1" w:styleId="47">
    <w:name w:val="B1"/>
    <w:basedOn w:val="25"/>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14"/>
    <w:semiHidden/>
    <w:qFormat/>
    <w:uiPriority w:val="99"/>
    <w:rPr>
      <w:rFonts w:ascii="Tahoma" w:hAnsi="Tahoma" w:cs="Tahoma"/>
      <w:sz w:val="16"/>
      <w:szCs w:val="16"/>
      <w:lang w:val="en-GB"/>
    </w:rPr>
  </w:style>
  <w:style w:type="character" w:customStyle="1" w:styleId="56">
    <w:name w:val="Header Char"/>
    <w:link w:val="19"/>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21"/>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26"/>
    <w:qFormat/>
    <w:uiPriority w:val="0"/>
  </w:style>
  <w:style w:type="paragraph" w:customStyle="1" w:styleId="86">
    <w:name w:val="B3"/>
    <w:basedOn w:val="27"/>
    <w:qFormat/>
    <w:uiPriority w:val="0"/>
  </w:style>
  <w:style w:type="paragraph" w:customStyle="1" w:styleId="87">
    <w:name w:val="B4"/>
    <w:basedOn w:val="28"/>
    <w:qFormat/>
    <w:uiPriority w:val="0"/>
  </w:style>
  <w:style w:type="paragraph" w:customStyle="1" w:styleId="88">
    <w:name w:val="B5"/>
    <w:basedOn w:val="29"/>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 w:type="paragraph" w:styleId="92">
    <w:name w:val="List Paragraph"/>
    <w:basedOn w:val="1"/>
    <w:qFormat/>
    <w:uiPriority w:val="34"/>
    <w:pPr>
      <w:ind w:left="720"/>
    </w:pPr>
    <w:rPr>
      <w:rFonts w:ascii="Calibri" w:hAnsi="Calibri" w:eastAsia="Calibri" w:cs="Calibri"/>
      <w:sz w:val="22"/>
      <w:szCs w:val="22"/>
      <w:lang w:val="en-CA" w:eastAsia="en-C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2</TotalTime>
  <ScaleCrop>false</ScaleCrop>
  <LinksUpToDate>false</LinksUpToDate>
  <CharactersWithSpaces>2251</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JY</cp:lastModifiedBy>
  <cp:lastPrinted>2002-04-23T07:10:00Z</cp:lastPrinted>
  <dcterms:modified xsi:type="dcterms:W3CDTF">2024-11-08T22:17:22Z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1033-12.2.0.18607</vt:lpwstr>
  </property>
  <property fmtid="{D5CDD505-2E9C-101B-9397-08002B2CF9AE}" pid="6" name="ICV">
    <vt:lpwstr>0D13CE6A2A7A4AA89396482C4496A8A6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